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79B90">
      <w:pPr>
        <w:jc w:val="left"/>
        <w:rPr>
          <w:rFonts w:hint="eastAsia" w:ascii="宋体" w:hAnsi="宋体" w:eastAsia="宋体" w:cs="宋体"/>
          <w:sz w:val="32"/>
          <w:szCs w:val="36"/>
          <w:lang w:val="en-US" w:eastAsia="zh-CN"/>
        </w:rPr>
      </w:pPr>
      <w:r>
        <w:rPr>
          <w:rFonts w:hint="eastAsia" w:ascii="宋体" w:hAnsi="宋体" w:eastAsia="宋体" w:cs="宋体"/>
          <w:sz w:val="32"/>
          <w:szCs w:val="36"/>
        </w:rPr>
        <w:t>附件</w:t>
      </w:r>
      <w:r>
        <w:rPr>
          <w:rFonts w:hint="eastAsia" w:ascii="宋体" w:hAnsi="宋体" w:eastAsia="宋体" w:cs="宋体"/>
          <w:sz w:val="32"/>
          <w:szCs w:val="36"/>
          <w:lang w:val="en-US" w:eastAsia="zh-CN"/>
        </w:rPr>
        <w:t>1</w:t>
      </w:r>
    </w:p>
    <w:p w14:paraId="451B199F">
      <w:pPr>
        <w:rPr>
          <w:rFonts w:ascii="宋体" w:hAnsi="宋体" w:eastAsia="宋体" w:cs="宋体"/>
        </w:rPr>
      </w:pPr>
    </w:p>
    <w:tbl>
      <w:tblPr>
        <w:tblStyle w:val="5"/>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512"/>
        <w:gridCol w:w="719"/>
        <w:gridCol w:w="2984"/>
        <w:gridCol w:w="1098"/>
      </w:tblGrid>
      <w:tr w14:paraId="54B0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1" w:type="pct"/>
            <w:noWrap/>
            <w:vAlign w:val="center"/>
          </w:tcPr>
          <w:p w14:paraId="0CCE9024">
            <w:pPr>
              <w:tabs>
                <w:tab w:val="left" w:pos="0"/>
                <w:tab w:val="left" w:pos="1134"/>
                <w:tab w:val="left" w:pos="8505"/>
              </w:tabs>
              <w:jc w:val="center"/>
              <w:rPr>
                <w:rFonts w:ascii="宋体" w:hAnsi="宋体" w:eastAsia="宋体" w:cs="宋体"/>
              </w:rPr>
            </w:pPr>
            <w:r>
              <w:rPr>
                <w:rFonts w:hint="eastAsia" w:ascii="宋体" w:hAnsi="宋体" w:eastAsia="宋体" w:cs="宋体"/>
              </w:rPr>
              <w:t>序号</w:t>
            </w:r>
          </w:p>
        </w:tc>
        <w:tc>
          <w:tcPr>
            <w:tcW w:w="989" w:type="pct"/>
            <w:noWrap/>
            <w:vAlign w:val="center"/>
          </w:tcPr>
          <w:p w14:paraId="52AE5FC2">
            <w:pPr>
              <w:tabs>
                <w:tab w:val="left" w:pos="0"/>
                <w:tab w:val="left" w:pos="1134"/>
                <w:tab w:val="left" w:pos="8505"/>
              </w:tabs>
              <w:jc w:val="center"/>
              <w:rPr>
                <w:rFonts w:ascii="宋体" w:hAnsi="宋体" w:eastAsia="宋体" w:cs="宋体"/>
              </w:rPr>
            </w:pPr>
            <w:r>
              <w:rPr>
                <w:rFonts w:hint="eastAsia" w:ascii="宋体" w:hAnsi="宋体" w:eastAsia="宋体" w:cs="宋体"/>
              </w:rPr>
              <w:t>评分因素</w:t>
            </w:r>
          </w:p>
          <w:p w14:paraId="59A1966F">
            <w:pPr>
              <w:tabs>
                <w:tab w:val="left" w:pos="0"/>
                <w:tab w:val="left" w:pos="1134"/>
                <w:tab w:val="left" w:pos="8505"/>
              </w:tabs>
              <w:jc w:val="center"/>
              <w:rPr>
                <w:rFonts w:ascii="宋体" w:hAnsi="宋体" w:eastAsia="宋体" w:cs="宋体"/>
              </w:rPr>
            </w:pPr>
            <w:r>
              <w:rPr>
                <w:rFonts w:hint="eastAsia" w:ascii="宋体" w:hAnsi="宋体" w:eastAsia="宋体" w:cs="宋体"/>
              </w:rPr>
              <w:t>及权重</w:t>
            </w:r>
          </w:p>
        </w:tc>
        <w:tc>
          <w:tcPr>
            <w:tcW w:w="470" w:type="pct"/>
            <w:noWrap/>
            <w:vAlign w:val="center"/>
          </w:tcPr>
          <w:p w14:paraId="68273654">
            <w:pPr>
              <w:tabs>
                <w:tab w:val="left" w:pos="0"/>
                <w:tab w:val="left" w:pos="1134"/>
                <w:tab w:val="left" w:pos="8505"/>
              </w:tabs>
              <w:jc w:val="center"/>
              <w:rPr>
                <w:rFonts w:ascii="宋体" w:hAnsi="宋体" w:eastAsia="宋体" w:cs="宋体"/>
              </w:rPr>
            </w:pPr>
            <w:r>
              <w:rPr>
                <w:rFonts w:hint="eastAsia" w:ascii="宋体" w:hAnsi="宋体" w:eastAsia="宋体" w:cs="宋体"/>
              </w:rPr>
              <w:t>分值</w:t>
            </w:r>
          </w:p>
        </w:tc>
        <w:tc>
          <w:tcPr>
            <w:tcW w:w="1952" w:type="pct"/>
            <w:noWrap/>
            <w:vAlign w:val="center"/>
          </w:tcPr>
          <w:p w14:paraId="167A1119">
            <w:pPr>
              <w:tabs>
                <w:tab w:val="left" w:pos="0"/>
                <w:tab w:val="left" w:pos="1134"/>
                <w:tab w:val="left" w:pos="8505"/>
              </w:tabs>
              <w:jc w:val="center"/>
              <w:rPr>
                <w:rFonts w:ascii="宋体" w:hAnsi="宋体" w:eastAsia="宋体" w:cs="宋体"/>
              </w:rPr>
            </w:pPr>
            <w:r>
              <w:rPr>
                <w:rFonts w:hint="eastAsia" w:ascii="宋体" w:hAnsi="宋体" w:eastAsia="宋体" w:cs="宋体"/>
              </w:rPr>
              <w:t>评分标准</w:t>
            </w:r>
          </w:p>
        </w:tc>
        <w:tc>
          <w:tcPr>
            <w:tcW w:w="715" w:type="pct"/>
            <w:noWrap/>
            <w:vAlign w:val="center"/>
          </w:tcPr>
          <w:p w14:paraId="139875A2">
            <w:pPr>
              <w:tabs>
                <w:tab w:val="left" w:pos="0"/>
                <w:tab w:val="left" w:pos="1134"/>
                <w:tab w:val="left" w:pos="8505"/>
              </w:tabs>
              <w:jc w:val="center"/>
              <w:rPr>
                <w:rFonts w:ascii="宋体" w:hAnsi="宋体" w:eastAsia="宋体" w:cs="宋体"/>
              </w:rPr>
            </w:pPr>
            <w:r>
              <w:rPr>
                <w:rFonts w:hint="eastAsia" w:ascii="宋体" w:hAnsi="宋体" w:eastAsia="宋体" w:cs="宋体"/>
              </w:rPr>
              <w:t>说  明</w:t>
            </w:r>
          </w:p>
        </w:tc>
      </w:tr>
      <w:tr w14:paraId="7697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pct"/>
            <w:noWrap/>
            <w:vAlign w:val="center"/>
          </w:tcPr>
          <w:p w14:paraId="3B8BDFAB">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一</w:t>
            </w:r>
          </w:p>
        </w:tc>
        <w:tc>
          <w:tcPr>
            <w:tcW w:w="989" w:type="pct"/>
            <w:noWrap/>
            <w:vAlign w:val="center"/>
          </w:tcPr>
          <w:p w14:paraId="33781AC1">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投标报价</w:t>
            </w:r>
          </w:p>
          <w:p w14:paraId="72C27481">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30%</w:t>
            </w:r>
          </w:p>
        </w:tc>
        <w:tc>
          <w:tcPr>
            <w:tcW w:w="470" w:type="pct"/>
            <w:noWrap/>
            <w:vAlign w:val="center"/>
          </w:tcPr>
          <w:p w14:paraId="73866772">
            <w:pPr>
              <w:tabs>
                <w:tab w:val="left" w:pos="0"/>
                <w:tab w:val="left" w:pos="1134"/>
                <w:tab w:val="left" w:pos="8505"/>
              </w:tabs>
              <w:jc w:val="center"/>
              <w:rPr>
                <w:rFonts w:ascii="宋体" w:hAnsi="宋体" w:eastAsia="宋体" w:cs="宋体"/>
              </w:rPr>
            </w:pPr>
            <w:r>
              <w:rPr>
                <w:rFonts w:hint="eastAsia" w:ascii="宋体" w:hAnsi="宋体" w:eastAsia="宋体" w:cs="宋体"/>
              </w:rPr>
              <w:t>30分</w:t>
            </w:r>
          </w:p>
        </w:tc>
        <w:tc>
          <w:tcPr>
            <w:tcW w:w="1952" w:type="pct"/>
            <w:noWrap/>
          </w:tcPr>
          <w:p w14:paraId="71796B24">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满足招标文件要求且投标价格最低的投标报价为评标基准价，其价格分为满分。其他投标人的价格分统一按照下列公式计算：</w:t>
            </w:r>
          </w:p>
          <w:p w14:paraId="0BA570C9">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投标报价得分=(评标基准价／投标报价)×30%×100。</w:t>
            </w:r>
          </w:p>
        </w:tc>
        <w:tc>
          <w:tcPr>
            <w:tcW w:w="715" w:type="pct"/>
            <w:noWrap/>
          </w:tcPr>
          <w:p w14:paraId="040DC3A7">
            <w:pPr>
              <w:tabs>
                <w:tab w:val="left" w:pos="0"/>
                <w:tab w:val="left" w:pos="1134"/>
                <w:tab w:val="left" w:pos="8505"/>
              </w:tabs>
              <w:rPr>
                <w:rFonts w:ascii="宋体" w:hAnsi="宋体" w:eastAsia="宋体" w:cs="宋体"/>
              </w:rPr>
            </w:pPr>
            <w:r>
              <w:rPr>
                <w:rFonts w:hint="eastAsia" w:ascii="宋体" w:hAnsi="宋体" w:eastAsia="宋体" w:cs="宋体"/>
              </w:rPr>
              <w:t>共同评分</w:t>
            </w:r>
          </w:p>
          <w:p w14:paraId="7B386474">
            <w:pPr>
              <w:tabs>
                <w:tab w:val="left" w:pos="0"/>
                <w:tab w:val="left" w:pos="1134"/>
                <w:tab w:val="left" w:pos="8505"/>
              </w:tabs>
              <w:rPr>
                <w:rFonts w:ascii="宋体" w:hAnsi="宋体" w:eastAsia="宋体" w:cs="宋体"/>
              </w:rPr>
            </w:pPr>
            <w:r>
              <w:rPr>
                <w:rFonts w:hint="eastAsia" w:ascii="宋体" w:hAnsi="宋体" w:eastAsia="宋体" w:cs="宋体"/>
              </w:rPr>
              <w:t>因素</w:t>
            </w:r>
          </w:p>
        </w:tc>
      </w:tr>
      <w:tr w14:paraId="5C32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 w:type="pct"/>
            <w:noWrap/>
            <w:vAlign w:val="center"/>
          </w:tcPr>
          <w:p w14:paraId="789DA2B6">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二</w:t>
            </w:r>
          </w:p>
        </w:tc>
        <w:tc>
          <w:tcPr>
            <w:tcW w:w="989" w:type="pct"/>
            <w:noWrap/>
            <w:vAlign w:val="center"/>
          </w:tcPr>
          <w:p w14:paraId="7827FF1F">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技术指标及</w:t>
            </w:r>
          </w:p>
          <w:p w14:paraId="22AB95D6">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配置</w:t>
            </w:r>
          </w:p>
          <w:p w14:paraId="009E9AF3">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23%</w:t>
            </w:r>
          </w:p>
        </w:tc>
        <w:tc>
          <w:tcPr>
            <w:tcW w:w="470" w:type="pct"/>
            <w:noWrap/>
            <w:vAlign w:val="center"/>
          </w:tcPr>
          <w:p w14:paraId="4248881C">
            <w:pPr>
              <w:tabs>
                <w:tab w:val="left" w:pos="0"/>
                <w:tab w:val="left" w:pos="1134"/>
                <w:tab w:val="left" w:pos="8505"/>
              </w:tabs>
              <w:jc w:val="center"/>
              <w:rPr>
                <w:rFonts w:ascii="宋体" w:hAnsi="宋体" w:eastAsia="宋体" w:cs="宋体"/>
              </w:rPr>
            </w:pPr>
            <w:r>
              <w:rPr>
                <w:rFonts w:hint="eastAsia" w:ascii="宋体" w:hAnsi="宋体" w:eastAsia="宋体" w:cs="宋体"/>
              </w:rPr>
              <w:t>23分</w:t>
            </w:r>
          </w:p>
        </w:tc>
        <w:tc>
          <w:tcPr>
            <w:tcW w:w="1952" w:type="pct"/>
            <w:noWrap/>
          </w:tcPr>
          <w:p w14:paraId="30B1B394">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(一)技术参数要求</w:t>
            </w:r>
          </w:p>
          <w:p w14:paraId="068112A1">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投标产品完全响应招标文件“技术参数要求”的得23分。每有一项重要指标(带“▲”号的参数，共14项)有负偏离的扣1分，最多扣14分；每有一项一般指标(带“●”号的参数，共18项)有负偏离的扣0.5分，最多扣9分。</w:t>
            </w:r>
          </w:p>
          <w:p w14:paraId="780B1386">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注：要求提供相关证明材料的参数，以供应商投标文件中提供的相关证明材料内容为准。</w:t>
            </w:r>
          </w:p>
        </w:tc>
        <w:tc>
          <w:tcPr>
            <w:tcW w:w="715" w:type="pct"/>
            <w:vMerge w:val="restart"/>
            <w:noWrap/>
          </w:tcPr>
          <w:p w14:paraId="011E34D3">
            <w:pPr>
              <w:tabs>
                <w:tab w:val="left" w:pos="0"/>
                <w:tab w:val="left" w:pos="1134"/>
                <w:tab w:val="left" w:pos="8505"/>
              </w:tabs>
              <w:rPr>
                <w:rFonts w:ascii="宋体" w:hAnsi="宋体" w:eastAsia="宋体" w:cs="宋体"/>
              </w:rPr>
            </w:pPr>
            <w:r>
              <w:rPr>
                <w:rFonts w:hint="eastAsia" w:ascii="宋体" w:hAnsi="宋体" w:eastAsia="宋体" w:cs="宋体"/>
              </w:rPr>
              <w:t>技术类</w:t>
            </w:r>
          </w:p>
          <w:p w14:paraId="4C57CACA">
            <w:pPr>
              <w:tabs>
                <w:tab w:val="left" w:pos="0"/>
                <w:tab w:val="left" w:pos="1134"/>
                <w:tab w:val="left" w:pos="8505"/>
              </w:tabs>
              <w:rPr>
                <w:rFonts w:ascii="宋体" w:hAnsi="宋体" w:eastAsia="宋体" w:cs="宋体"/>
              </w:rPr>
            </w:pPr>
            <w:r>
              <w:rPr>
                <w:rFonts w:hint="eastAsia" w:ascii="宋体" w:hAnsi="宋体" w:eastAsia="宋体" w:cs="宋体"/>
              </w:rPr>
              <w:t>评分因素</w:t>
            </w:r>
          </w:p>
        </w:tc>
      </w:tr>
      <w:tr w14:paraId="6FAB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pct"/>
            <w:noWrap/>
            <w:vAlign w:val="center"/>
          </w:tcPr>
          <w:p w14:paraId="7B77B76A">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三</w:t>
            </w:r>
          </w:p>
        </w:tc>
        <w:tc>
          <w:tcPr>
            <w:tcW w:w="989" w:type="pct"/>
            <w:noWrap/>
            <w:vAlign w:val="center"/>
          </w:tcPr>
          <w:p w14:paraId="5E93C8F3">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实施方案</w:t>
            </w:r>
          </w:p>
          <w:p w14:paraId="2E41078B">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21%</w:t>
            </w:r>
          </w:p>
        </w:tc>
        <w:tc>
          <w:tcPr>
            <w:tcW w:w="470" w:type="pct"/>
            <w:noWrap/>
            <w:vAlign w:val="center"/>
          </w:tcPr>
          <w:p w14:paraId="69C1424B">
            <w:pPr>
              <w:tabs>
                <w:tab w:val="left" w:pos="0"/>
                <w:tab w:val="left" w:pos="1134"/>
                <w:tab w:val="left" w:pos="8505"/>
              </w:tabs>
              <w:jc w:val="center"/>
              <w:rPr>
                <w:rFonts w:ascii="宋体" w:hAnsi="宋体" w:eastAsia="宋体" w:cs="宋体"/>
              </w:rPr>
            </w:pPr>
            <w:r>
              <w:rPr>
                <w:rFonts w:hint="eastAsia" w:ascii="宋体" w:hAnsi="宋体" w:eastAsia="宋体" w:cs="宋体"/>
              </w:rPr>
              <w:t>21分</w:t>
            </w:r>
          </w:p>
        </w:tc>
        <w:tc>
          <w:tcPr>
            <w:tcW w:w="1952" w:type="pct"/>
            <w:noWrap/>
          </w:tcPr>
          <w:p w14:paraId="05A9CB45">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内容包括：①组织措施(含：人员配置、工作任务分工及职责、管理制度)；②货物采购及供应安排；③协调管理(与采购人及相关职能部门的协调方案和计划)；④工期计划保障措施；⑤质量保证措施；⑥安全保障措施；⑦应急预案；以上7个方面，经评定相关内容完整、全面，与项目匹配，拟定的相关措施与项目实际匹配，责任、制度明确，方案内容没有不足的得21分；每缺少一项内容扣3分，每有一处内容存在不足的扣1分，扣完为止。</w:t>
            </w:r>
          </w:p>
          <w:p w14:paraId="4BD19D1D">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注：①以评审专家结合项目实际情况和投标文件响应情况独立评审为准。</w:t>
            </w:r>
          </w:p>
          <w:p w14:paraId="433A16F7">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②不足是指：内容不齐全或过于简略，不能指导项目实施；内容阐述存在逻辑性错误或前后矛盾；语义不明或存在歧义，项目名称、实施地点、涉及的实施依据与本项目要求不一致或直接套用其他项目方案内容；项目管理机构设置不合理，与本项目不匹配；人员配置不完善或岗位职责交叉混乱；货物供应与工期计划存在逻辑错误，进度超期或保证措施过于形式粗略；质量、安全措施存在明显疏漏或隐患或过于粗略，对项目实施构成不利影响或与本项目不匹配；应急预案缺乏突发事件预判或与本项目不匹配等任意一项类似缺陷或瑕疵。</w:t>
            </w:r>
          </w:p>
        </w:tc>
        <w:tc>
          <w:tcPr>
            <w:tcW w:w="715" w:type="pct"/>
            <w:vMerge w:val="continue"/>
            <w:noWrap/>
          </w:tcPr>
          <w:p w14:paraId="3F9765ED">
            <w:pPr>
              <w:tabs>
                <w:tab w:val="left" w:pos="0"/>
                <w:tab w:val="left" w:pos="1134"/>
                <w:tab w:val="left" w:pos="8505"/>
              </w:tabs>
              <w:rPr>
                <w:rFonts w:ascii="宋体" w:hAnsi="宋体" w:eastAsia="宋体" w:cs="宋体"/>
              </w:rPr>
            </w:pPr>
          </w:p>
        </w:tc>
      </w:tr>
      <w:tr w14:paraId="3213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 w:type="pct"/>
            <w:noWrap/>
            <w:vAlign w:val="center"/>
          </w:tcPr>
          <w:p w14:paraId="262D55FF">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四</w:t>
            </w:r>
          </w:p>
        </w:tc>
        <w:tc>
          <w:tcPr>
            <w:tcW w:w="989" w:type="pct"/>
            <w:noWrap/>
            <w:vAlign w:val="center"/>
          </w:tcPr>
          <w:p w14:paraId="18A2D44A">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运行保障方案</w:t>
            </w:r>
          </w:p>
          <w:p w14:paraId="3976B0B6">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9%</w:t>
            </w:r>
          </w:p>
        </w:tc>
        <w:tc>
          <w:tcPr>
            <w:tcW w:w="470" w:type="pct"/>
            <w:noWrap/>
            <w:vAlign w:val="center"/>
          </w:tcPr>
          <w:p w14:paraId="4A589B21">
            <w:pPr>
              <w:tabs>
                <w:tab w:val="left" w:pos="0"/>
                <w:tab w:val="left" w:pos="1134"/>
                <w:tab w:val="left" w:pos="8505"/>
              </w:tabs>
              <w:jc w:val="center"/>
              <w:rPr>
                <w:rFonts w:ascii="宋体" w:hAnsi="宋体" w:eastAsia="宋体" w:cs="宋体"/>
              </w:rPr>
            </w:pPr>
            <w:r>
              <w:rPr>
                <w:rFonts w:hint="eastAsia" w:ascii="宋体" w:hAnsi="宋体" w:eastAsia="宋体" w:cs="宋体"/>
              </w:rPr>
              <w:t>9分</w:t>
            </w:r>
          </w:p>
        </w:tc>
        <w:tc>
          <w:tcPr>
            <w:tcW w:w="1952" w:type="pct"/>
            <w:noWrap/>
          </w:tcPr>
          <w:p w14:paraId="3E3E01BB">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1.运行保障方案内容包括：①确保系统和设备的正常运行措施；②运行维护和管理工作流程；③系统和设备故障排除(维修、抢修)措施。以上3个方面，经评定相关内容完整、详细、全面，满足或优于招标文件运行保障要求，方案内容没有不足的得9分；每缺少一项内容扣3分，每有一处内容存在不足的扣1分，扣完为止。</w:t>
            </w:r>
          </w:p>
          <w:p w14:paraId="0BFF012D">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注：①以评审专家结合项目实际情况和投标文件响应情况独立评审为准。</w:t>
            </w:r>
          </w:p>
          <w:p w14:paraId="194D2159">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②不足是指：内容不齐全或过于简略；低于招标文件要求；相关流程、措施、方案等存在与项目实际不符或其他不匹配的内容；方案内容存在语义不清或逻辑性错误等任意一项类似缺陷或瑕疵。</w:t>
            </w:r>
          </w:p>
        </w:tc>
        <w:tc>
          <w:tcPr>
            <w:tcW w:w="715" w:type="pct"/>
            <w:vMerge w:val="continue"/>
            <w:noWrap/>
          </w:tcPr>
          <w:p w14:paraId="78FD0B59">
            <w:pPr>
              <w:tabs>
                <w:tab w:val="left" w:pos="0"/>
                <w:tab w:val="left" w:pos="1134"/>
                <w:tab w:val="left" w:pos="8505"/>
              </w:tabs>
              <w:rPr>
                <w:rFonts w:ascii="宋体" w:hAnsi="宋体" w:eastAsia="宋体" w:cs="宋体"/>
              </w:rPr>
            </w:pPr>
          </w:p>
        </w:tc>
      </w:tr>
      <w:tr w14:paraId="06C4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71" w:type="pct"/>
            <w:noWrap/>
            <w:vAlign w:val="center"/>
          </w:tcPr>
          <w:p w14:paraId="147F708A">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五</w:t>
            </w:r>
          </w:p>
        </w:tc>
        <w:tc>
          <w:tcPr>
            <w:tcW w:w="989" w:type="pct"/>
            <w:noWrap/>
            <w:vAlign w:val="center"/>
          </w:tcPr>
          <w:p w14:paraId="0B6DCF96">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业绩能力2%</w:t>
            </w:r>
          </w:p>
        </w:tc>
        <w:tc>
          <w:tcPr>
            <w:tcW w:w="470" w:type="pct"/>
            <w:noWrap/>
            <w:vAlign w:val="center"/>
          </w:tcPr>
          <w:p w14:paraId="688C4A73">
            <w:pPr>
              <w:tabs>
                <w:tab w:val="left" w:pos="0"/>
                <w:tab w:val="left" w:pos="1134"/>
                <w:tab w:val="left" w:pos="8505"/>
              </w:tabs>
              <w:jc w:val="center"/>
              <w:rPr>
                <w:rFonts w:ascii="宋体" w:hAnsi="宋体" w:eastAsia="宋体" w:cs="宋体"/>
              </w:rPr>
            </w:pPr>
            <w:r>
              <w:rPr>
                <w:rFonts w:hint="eastAsia" w:ascii="宋体" w:hAnsi="宋体" w:eastAsia="宋体" w:cs="宋体"/>
              </w:rPr>
              <w:t>2分</w:t>
            </w:r>
          </w:p>
        </w:tc>
        <w:tc>
          <w:tcPr>
            <w:tcW w:w="1952" w:type="pct"/>
            <w:noWrap/>
          </w:tcPr>
          <w:p w14:paraId="155027A8">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1.2022年1月1日(含)至今，投标人具有类似项目履约经验，每有一个得1分，最多得2分。</w:t>
            </w:r>
          </w:p>
          <w:p w14:paraId="00E36D2D">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注：提供合同复印件或履约验收报告(或质量验收记录)复印件，否则不得分。</w:t>
            </w:r>
          </w:p>
        </w:tc>
        <w:tc>
          <w:tcPr>
            <w:tcW w:w="715" w:type="pct"/>
            <w:vMerge w:val="restart"/>
            <w:noWrap/>
          </w:tcPr>
          <w:p w14:paraId="62E20124">
            <w:pPr>
              <w:tabs>
                <w:tab w:val="left" w:pos="0"/>
                <w:tab w:val="left" w:pos="1134"/>
                <w:tab w:val="left" w:pos="8505"/>
              </w:tabs>
              <w:rPr>
                <w:rFonts w:ascii="宋体" w:hAnsi="宋体" w:eastAsia="宋体" w:cs="宋体"/>
              </w:rPr>
            </w:pPr>
            <w:r>
              <w:rPr>
                <w:rFonts w:hint="eastAsia" w:ascii="宋体" w:hAnsi="宋体" w:eastAsia="宋体" w:cs="宋体"/>
              </w:rPr>
              <w:t>共同评分</w:t>
            </w:r>
          </w:p>
          <w:p w14:paraId="6A67A028">
            <w:pPr>
              <w:tabs>
                <w:tab w:val="left" w:pos="0"/>
                <w:tab w:val="left" w:pos="1134"/>
                <w:tab w:val="left" w:pos="8505"/>
              </w:tabs>
              <w:rPr>
                <w:rFonts w:ascii="宋体" w:hAnsi="宋体" w:eastAsia="宋体" w:cs="宋体"/>
              </w:rPr>
            </w:pPr>
            <w:r>
              <w:rPr>
                <w:rFonts w:hint="eastAsia" w:ascii="宋体" w:hAnsi="宋体" w:eastAsia="宋体" w:cs="宋体"/>
              </w:rPr>
              <w:t>因素</w:t>
            </w:r>
          </w:p>
        </w:tc>
      </w:tr>
      <w:tr w14:paraId="4BC0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1" w:type="pct"/>
            <w:noWrap/>
            <w:vAlign w:val="center"/>
          </w:tcPr>
          <w:p w14:paraId="02E1EA31">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六</w:t>
            </w:r>
          </w:p>
        </w:tc>
        <w:tc>
          <w:tcPr>
            <w:tcW w:w="989" w:type="pct"/>
            <w:noWrap/>
            <w:vAlign w:val="center"/>
          </w:tcPr>
          <w:p w14:paraId="21463C03">
            <w:pPr>
              <w:tabs>
                <w:tab w:val="left" w:pos="0"/>
                <w:tab w:val="left" w:pos="1134"/>
                <w:tab w:val="left" w:pos="8505"/>
              </w:tabs>
              <w:adjustRightInd w:val="0"/>
              <w:jc w:val="center"/>
              <w:textAlignment w:val="baseline"/>
              <w:rPr>
                <w:rFonts w:ascii="宋体" w:hAnsi="宋体" w:eastAsia="宋体" w:cs="宋体"/>
              </w:rPr>
            </w:pPr>
            <w:r>
              <w:rPr>
                <w:rFonts w:hint="eastAsia" w:ascii="宋体" w:hAnsi="宋体" w:eastAsia="宋体" w:cs="宋体"/>
              </w:rPr>
              <w:t>售后服务能力15%</w:t>
            </w:r>
          </w:p>
        </w:tc>
        <w:tc>
          <w:tcPr>
            <w:tcW w:w="470" w:type="pct"/>
            <w:noWrap/>
            <w:vAlign w:val="center"/>
          </w:tcPr>
          <w:p w14:paraId="72ED0496">
            <w:pPr>
              <w:tabs>
                <w:tab w:val="left" w:pos="0"/>
                <w:tab w:val="left" w:pos="1134"/>
                <w:tab w:val="left" w:pos="8505"/>
              </w:tabs>
              <w:jc w:val="center"/>
              <w:rPr>
                <w:rFonts w:ascii="宋体" w:hAnsi="宋体" w:eastAsia="宋体" w:cs="宋体"/>
              </w:rPr>
            </w:pPr>
            <w:r>
              <w:rPr>
                <w:rFonts w:hint="eastAsia" w:ascii="宋体" w:hAnsi="宋体" w:eastAsia="宋体" w:cs="宋体"/>
              </w:rPr>
              <w:t>15分</w:t>
            </w:r>
          </w:p>
        </w:tc>
        <w:tc>
          <w:tcPr>
            <w:tcW w:w="1952" w:type="pct"/>
            <w:noWrap/>
          </w:tcPr>
          <w:p w14:paraId="73A92F37">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根据投标人售后服务方案综合评审：①售后服务机构及网点、售后服务团队（含长期稳定的维护人员名单及联系方式）、②售后服务制度、③售后服务响应时间、④项目整体售后服务年限、⑤投标主要产品的备品（配件）库存设定。以上5个方面，经评定相关内容完整、详细、全面，满足或优于招标文件运行保障要求，方案内容没有不足的得15分；每缺少一项内容扣3分，每有一处内容存在不足的扣1分，扣完为止。</w:t>
            </w:r>
          </w:p>
          <w:p w14:paraId="2A01F97F">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注：①以评审专家结合项目实际情况和投标文件响应情况独立评审为准。</w:t>
            </w:r>
          </w:p>
          <w:p w14:paraId="33DDF936">
            <w:pPr>
              <w:tabs>
                <w:tab w:val="left" w:pos="0"/>
                <w:tab w:val="left" w:pos="1134"/>
                <w:tab w:val="left" w:pos="8505"/>
              </w:tabs>
              <w:adjustRightInd w:val="0"/>
              <w:textAlignment w:val="baseline"/>
              <w:rPr>
                <w:rFonts w:ascii="宋体" w:hAnsi="宋体" w:eastAsia="宋体" w:cs="宋体"/>
              </w:rPr>
            </w:pPr>
            <w:r>
              <w:rPr>
                <w:rFonts w:hint="eastAsia" w:ascii="宋体" w:hAnsi="宋体" w:eastAsia="宋体" w:cs="宋体"/>
              </w:rPr>
              <w:t>②不足是指：内容不齐全或过于简略；低于招标文件要求；相关流程、措施、方案等存在与项目实际不符或其他不匹配的内容；方案内容存在语义不清或逻辑性错误等任意一项类似缺陷或瑕疵。</w:t>
            </w:r>
          </w:p>
        </w:tc>
        <w:tc>
          <w:tcPr>
            <w:tcW w:w="715" w:type="pct"/>
            <w:vMerge w:val="continue"/>
            <w:noWrap/>
          </w:tcPr>
          <w:p w14:paraId="26EDB7CF">
            <w:pPr>
              <w:tabs>
                <w:tab w:val="left" w:pos="0"/>
                <w:tab w:val="left" w:pos="1134"/>
                <w:tab w:val="left" w:pos="8505"/>
              </w:tabs>
              <w:rPr>
                <w:rFonts w:ascii="宋体" w:hAnsi="宋体" w:eastAsia="宋体" w:cs="宋体"/>
              </w:rPr>
            </w:pPr>
          </w:p>
        </w:tc>
      </w:tr>
      <w:tr w14:paraId="1792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noWrap/>
          </w:tcPr>
          <w:p w14:paraId="39FA344C">
            <w:pPr>
              <w:tabs>
                <w:tab w:val="left" w:pos="0"/>
                <w:tab w:val="left" w:pos="1134"/>
                <w:tab w:val="left" w:pos="8505"/>
              </w:tabs>
              <w:rPr>
                <w:rFonts w:ascii="宋体" w:hAnsi="宋体" w:eastAsia="宋体" w:cs="宋体"/>
              </w:rPr>
            </w:pPr>
            <w:r>
              <w:rPr>
                <w:rFonts w:hint="eastAsia" w:ascii="宋体" w:hAnsi="宋体" w:eastAsia="宋体" w:cs="宋体"/>
              </w:rPr>
              <w:t>注：</w:t>
            </w:r>
            <w:r>
              <w:rPr>
                <w:rFonts w:hint="eastAsia" w:ascii="宋体" w:hAnsi="宋体" w:eastAsia="宋体" w:cs="宋体"/>
              </w:rPr>
              <w:fldChar w:fldCharType="begin"/>
            </w:r>
            <w:r>
              <w:rPr>
                <w:rFonts w:hint="eastAsia" w:ascii="宋体" w:hAnsi="宋体" w:eastAsia="宋体" w:cs="宋体"/>
              </w:rPr>
              <w:instrText xml:space="preserve"> = 1 \* GB3 \* MERGEFORMAT </w:instrText>
            </w:r>
            <w:r>
              <w:rPr>
                <w:rFonts w:hint="eastAsia" w:ascii="宋体" w:hAnsi="宋体" w:eastAsia="宋体" w:cs="宋体"/>
              </w:rPr>
              <w:fldChar w:fldCharType="separate"/>
            </w:r>
            <w:r>
              <w:rPr>
                <w:rFonts w:hint="eastAsia" w:ascii="宋体" w:hAnsi="宋体" w:eastAsia="宋体" w:cs="宋体"/>
              </w:rPr>
              <w:t>①</w:t>
            </w:r>
            <w:r>
              <w:rPr>
                <w:rFonts w:hint="eastAsia" w:ascii="宋体" w:hAnsi="宋体" w:eastAsia="宋体" w:cs="宋体"/>
              </w:rPr>
              <w:fldChar w:fldCharType="end"/>
            </w:r>
            <w:r>
              <w:rPr>
                <w:rFonts w:hint="eastAsia" w:ascii="宋体" w:hAnsi="宋体" w:eastAsia="宋体" w:cs="宋体"/>
              </w:rPr>
              <w:t>评分的取值按四舍五入法，小数点后保留两位。</w:t>
            </w:r>
            <w:r>
              <w:rPr>
                <w:rFonts w:hint="eastAsia" w:ascii="宋体" w:hAnsi="宋体" w:eastAsia="宋体" w:cs="宋体"/>
              </w:rPr>
              <w:fldChar w:fldCharType="begin"/>
            </w:r>
            <w:r>
              <w:rPr>
                <w:rFonts w:hint="eastAsia" w:ascii="宋体" w:hAnsi="宋体" w:eastAsia="宋体" w:cs="宋体"/>
              </w:rPr>
              <w:instrText xml:space="preserve"> = 2 \* GB3 \* MERGEFORMAT </w:instrText>
            </w:r>
            <w:r>
              <w:rPr>
                <w:rFonts w:hint="eastAsia" w:ascii="宋体" w:hAnsi="宋体" w:eastAsia="宋体" w:cs="宋体"/>
              </w:rPr>
              <w:fldChar w:fldCharType="separate"/>
            </w:r>
            <w:r>
              <w:rPr>
                <w:rFonts w:hint="eastAsia" w:ascii="宋体" w:hAnsi="宋体" w:eastAsia="宋体" w:cs="宋体"/>
              </w:rPr>
              <w:t>②</w:t>
            </w:r>
            <w:r>
              <w:rPr>
                <w:rFonts w:hint="eastAsia" w:ascii="宋体" w:hAnsi="宋体" w:eastAsia="宋体" w:cs="宋体"/>
              </w:rPr>
              <w:fldChar w:fldCharType="end"/>
            </w:r>
            <w:r>
              <w:rPr>
                <w:rFonts w:hint="eastAsia" w:ascii="宋体" w:hAnsi="宋体" w:eastAsia="宋体" w:cs="宋体"/>
              </w:rPr>
              <w:t>本表中要求提供各类证明材料应清晰可辨，均需加盖供应商单位公章，否则将不认可该项材料的有效性。</w:t>
            </w:r>
          </w:p>
        </w:tc>
      </w:tr>
    </w:tbl>
    <w:p w14:paraId="31B4B4D5">
      <w:pPr>
        <w:tabs>
          <w:tab w:val="left" w:pos="0"/>
          <w:tab w:val="left" w:pos="8505"/>
        </w:tabs>
        <w:rPr>
          <w:rFonts w:hint="default" w:ascii="宋体" w:hAnsi="宋体" w:eastAsia="宋体" w:cs="宋体"/>
          <w:color w:val="161616"/>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C0169"/>
    <w:rsid w:val="0034099E"/>
    <w:rsid w:val="007579DC"/>
    <w:rsid w:val="009B7DE2"/>
    <w:rsid w:val="00C25395"/>
    <w:rsid w:val="00E2050D"/>
    <w:rsid w:val="00FD48B1"/>
    <w:rsid w:val="069C0169"/>
    <w:rsid w:val="12CE0FEF"/>
    <w:rsid w:val="4FA276D2"/>
    <w:rsid w:val="626919BB"/>
    <w:rsid w:val="6654588C"/>
    <w:rsid w:val="6B5753F6"/>
    <w:rsid w:val="6D1433C7"/>
    <w:rsid w:val="6E682765"/>
    <w:rsid w:val="6E970322"/>
    <w:rsid w:val="72924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right="-694"/>
      <w:jc w:val="center"/>
    </w:pPr>
    <w:rPr>
      <w:rFonts w:ascii="黑体" w:hAnsi="Times New Roman" w:eastAsia="黑体"/>
      <w:sz w:val="72"/>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3600</Words>
  <Characters>3871</Characters>
  <Lines>31</Lines>
  <Paragraphs>8</Paragraphs>
  <TotalTime>31</TotalTime>
  <ScaleCrop>false</ScaleCrop>
  <LinksUpToDate>false</LinksUpToDate>
  <CharactersWithSpaces>3922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2025-12-24T09:21:00Z</dcterms:created>
  <dc:creator>Hhhhhpppi</dc:creator>
  <cp:lastModifiedBy>Yicc</cp:lastModifiedBy>
  <cp:lastPrinted>2026-01-30T10:18:03Z</cp:lastPrinted>
  <dcterms:modified xsi:type="dcterms:W3CDTF">2026-01-30T10:30:06Z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AD952586752A44F5890461933B39FC3C_13</vt:lpwstr>
  </property>
  <property fmtid="{D5CDD505-2E9C-101B-9397-08002B2CF9AE}" pid="4" name="KSOTemplateDocerSaveRecord">
    <vt:lpwstr>eyJoZGlkIjoiMWQ3MWZkNzgyMzU2MmUwMTdlYWNjYmI5MWI4OTBlMTMiLCJ1c2VySWQiOiIzNzY3MTM5MTEifQ==</vt:lpwstr>
  </property>
</Properties>
</file>